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line="120"/>
      </w:pPr>
    </w:p>
    <w:tbl>
      <w:tblPr>
        <w:tblW w:type="dxa" w:w="10106"/>
        <w:tblBorders>
          <w:top w:val="single" w:color="C9CED9" w:sz="4"/>
          <w:left w:val="single" w:color="C9CED9" w:sz="4"/>
          <w:bottom w:val="single" w:color="C9CED9" w:sz="4"/>
          <w:right w:val="single" w:color="C9CED9" w:sz="4"/>
          <w:insideH w:val="single" w:color="C9CED9" w:sz="4"/>
          <w:insideV w:val="single" w:color="C9CED9" w:sz="4"/>
        </w:tblBorders>
        <w:tblLayout w:type="fixed"/>
      </w:tblPr>
      <w:tblGrid>
        <w:gridCol w:w="1300"/>
        <w:gridCol w:w="2068"/>
        <w:gridCol w:w="1300"/>
        <w:gridCol w:w="2068"/>
        <w:gridCol w:w="1300"/>
        <w:gridCol w:w="2068"/>
      </w:tblGrid>
      <w:tr>
        <w:trPr>
          <w:trHeight w:val="380" w:hRule="atLeast"/>
        </w:trPr>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SOP No.</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t xml:space="preserve">[SOP NO.]</w:t>
            </w:r>
          </w:p>
        </w:tc>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Version</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t xml:space="preserve">1.0</w:t>
            </w:r>
          </w:p>
        </w:tc>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Issued</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t xml:space="preserve">[DATE]</w:t>
            </w:r>
          </w:p>
        </w:tc>
      </w:tr>
      <w:tr>
        <w:trPr>
          <w:trHeight w:val="380" w:hRule="atLeast"/>
        </w:trPr>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Approved by</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t xml:space="preserve">Manager</w:t>
            </w:r>
          </w:p>
        </w:tc>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Review due</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t xml:space="preserve">[DATE + 12 MONTHS]</w:t>
            </w:r>
          </w:p>
        </w:tc>
        <w:tc>
          <w:tcPr>
            <w:tcW w:type="dxa" w:w="1300"/>
            <w:shd w:fill="F1F3F6" w:color="auto" w:val="clear"/>
            <w:tcMar>
              <w:top w:type="dxa" w:w="60"/>
              <w:left w:type="dxa" w:w="120"/>
              <w:bottom w:type="dxa" w:w="60"/>
              <w:right w:type="dxa" w:w="120"/>
            </w:tcMar>
            <w:vAlign w:val="center"/>
          </w:tcPr>
          <w:p>
            <w:pPr>
              <w:spacing w:after="0" w:line="276"/>
            </w:pPr>
            <w:r>
              <w:rPr>
                <w:rFonts w:ascii="Arial" w:cs="Arial" w:eastAsia="Arial" w:hAnsi="Arial"/>
                <w:b/>
                <w:bCs/>
                <w:color w:val="1E2845"/>
                <w:sz w:val="16"/>
                <w:szCs w:val="16"/>
              </w:rPr>
              <w:t xml:space="preserve">Pages</w:t>
            </w:r>
          </w:p>
        </w:tc>
        <w:tc>
          <w:tcPr>
            <w:tcW w:type="dxa" w:w="2068"/>
            <w:tcMar>
              <w:top w:type="dxa" w:w="60"/>
              <w:left w:type="dxa" w:w="120"/>
              <w:bottom w:type="dxa" w:w="60"/>
              <w:right w:type="dxa" w:w="120"/>
            </w:tcMar>
            <w:vAlign w:val="center"/>
          </w:tcPr>
          <w:p>
            <w:pPr>
              <w:spacing w:after="0" w:line="276"/>
            </w:pPr>
            <w:r>
              <w:rPr>
                <w:rFonts w:ascii="Arial" w:cs="Arial" w:eastAsia="Arial" w:hAnsi="Arial"/>
                <w:color w:val="222222"/>
                <w:sz w:val="17"/>
                <w:szCs w:val="17"/>
              </w:rPr>
              <w:fldChar w:fldCharType="begin"/>
              <w:instrText xml:space="preserve">NUMPAGES</w:instrText>
              <w:fldChar w:fldCharType="separate"/>
              <w:fldChar w:fldCharType="end"/>
            </w:r>
          </w:p>
        </w:tc>
      </w:tr>
    </w:tbl>
    <w:p>
      <w:pPr>
        <w:spacing w:after="160" w:line="12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rPr>
          <w:cantSplit/>
        </w:trPr>
        <w:tc>
          <w:tcPr>
            <w:tcW w:type="dxa" w:w="10106"/>
            <w:shd w:fill="E8552B" w:color="auto" w:val="clear"/>
            <w:tcMar>
              <w:top w:type="dxa" w:w="130"/>
              <w:left w:type="dxa" w:w="200"/>
              <w:bottom w:type="dxa" w:w="130"/>
              <w:right w:type="dxa" w:w="200"/>
            </w:tcMar>
            <w:vAlign w:val="center"/>
          </w:tcPr>
          <w:p>
            <w:pPr>
              <w:spacing w:after="0" w:line="276"/>
            </w:pPr>
            <w:r>
              <w:rPr>
                <w:color w:val="auto"/>
                <w:sz w:val="20"/>
                <w:szCs w:val="20"/>
              </w:rPr>
              <w:t xml:space="preserve">⚠️ </w:t>
            </w:r>
            <w:r>
              <w:rPr>
                <w:rFonts w:ascii="Arial" w:cs="Arial" w:eastAsia="Arial" w:hAnsi="Arial"/>
                <w:b/>
                <w:bCs/>
                <w:color w:val="FFFFFF"/>
                <w:sz w:val="19"/>
                <w:szCs w:val="19"/>
              </w:rPr>
              <w:t xml:space="preserve">DO NOT carry out sewer work unless you have been trained, assessed as competent, &amp; authorised to do so.</w:t>
            </w:r>
          </w:p>
        </w:tc>
      </w:tr>
    </w:tbl>
    <w:p>
      <w:pPr>
        <w:spacing w:after="160" w:line="12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rPr>
          <w:cantSplit w:val="false"/>
        </w:trPr>
        <w:tc>
          <w:tcPr>
            <w:tcW w:type="dxa" w:w="10106"/>
            <w:tcBorders>
              <w:top w:val="none" w:color="FFFFFF" w:sz="0"/>
              <w:left w:val="none" w:color="FFFFFF" w:sz="0"/>
              <w:bottom w:val="none" w:color="FFFFFF" w:sz="0"/>
              <w:right w:val="none" w:color="FFFFFF" w:sz="0"/>
            </w:tcBorders>
            <w:shd w:fill="F1F3F6" w:color="auto" w:val="clear"/>
            <w:tcMar>
              <w:top w:type="dxa" w:w="130"/>
              <w:left w:type="dxa" w:w="220"/>
              <w:bottom w:type="dxa" w:w="130"/>
              <w:right w:type="dxa" w:w="220"/>
            </w:tcMar>
            <w:vAlign w:val="center"/>
          </w:tcPr>
          <w:p>
            <w:pPr>
              <w:keepNext/>
              <w:spacing w:after="70"/>
            </w:pPr>
            <w:r>
              <w:rPr>
                <w:rFonts w:ascii="Arial" w:cs="Arial" w:eastAsia="Arial" w:hAnsi="Arial"/>
                <w:b/>
                <w:bCs/>
                <w:color w:val="1E2845"/>
                <w:sz w:val="20"/>
                <w:szCs w:val="20"/>
              </w:rPr>
              <w:t xml:space="preserve">Task and scope</w:t>
            </w:r>
          </w:p>
          <w:p>
            <w:pPr>
              <w:spacing w:after="0" w:line="276"/>
            </w:pPr>
            <w:r>
              <w:rPr>
                <w:rFonts w:ascii="Arial" w:cs="Arial" w:eastAsia="Arial" w:hAnsi="Arial"/>
                <w:color w:val="333333"/>
                <w:sz w:val="19"/>
                <w:szCs w:val="19"/>
              </w:rPr>
              <w:t xml:space="preserve">This SOP covers plumbing trade work on sewer lines, including clearing blockages, repairing or replacing sewer pipework, and opening inspection points, manholes or access chambers, together with the biological contamination control required around exposure to raw sewage. It does not cover entry into a pit, manhole or access chamber, which is confined space entry and requires the organisation's confined space entry procedure and permit, nor the detailed operation of powered drain-clearing or jetting equipment, which is covered by the applicable plant-specific SOP.</w:t>
            </w:r>
          </w:p>
        </w:tc>
      </w:tr>
    </w:tbl>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1   |   POTENTIAL HAZARDS</w:t>
      </w:r>
    </w:p>
    <w:p>
      <w:pPr>
        <w:pStyle w:val="ListParagraph"/>
        <w:numPr>
          <w:ilvl w:val="0"/>
          <w:numId w:val="2"/>
        </w:numPr>
        <w:spacing w:after="50" w:line="264"/>
      </w:pPr>
      <w:r>
        <w:rPr>
          <w:rFonts w:ascii="Arial" w:cs="Arial" w:eastAsia="Arial" w:hAnsi="Arial"/>
          <w:color w:val="333333"/>
          <w:sz w:val="19"/>
          <w:szCs w:val="19"/>
        </w:rPr>
        <w:t xml:space="preserve">Biological and pathogen exposure (bacteria, viruses and parasites) from contact with or splash from raw sewage</w:t>
      </w:r>
    </w:p>
    <w:p>
      <w:pPr>
        <w:pStyle w:val="ListParagraph"/>
        <w:numPr>
          <w:ilvl w:val="0"/>
          <w:numId w:val="2"/>
        </w:numPr>
        <w:spacing w:after="50" w:line="264"/>
      </w:pPr>
      <w:r>
        <w:rPr>
          <w:rFonts w:ascii="Arial" w:cs="Arial" w:eastAsia="Arial" w:hAnsi="Arial"/>
          <w:color w:val="333333"/>
          <w:sz w:val="19"/>
          <w:szCs w:val="19"/>
        </w:rPr>
        <w:t xml:space="preserve">Hazardous atmosphere in sewer systems, including hydrogen sulphide, methane and oxygen-deficient air, released when inspection points, manholes or access chambers are opened</w:t>
      </w:r>
    </w:p>
    <w:p>
      <w:pPr>
        <w:pStyle w:val="ListParagraph"/>
        <w:numPr>
          <w:ilvl w:val="0"/>
          <w:numId w:val="2"/>
        </w:numPr>
        <w:spacing w:after="50" w:line="264"/>
      </w:pPr>
      <w:r>
        <w:rPr>
          <w:rFonts w:ascii="Arial" w:cs="Arial" w:eastAsia="Arial" w:hAnsi="Arial"/>
          <w:color w:val="333333"/>
          <w:sz w:val="19"/>
          <w:szCs w:val="19"/>
        </w:rPr>
        <w:t xml:space="preserve">Confined space risk where the task requires entering or working inside a pit, manhole or access chamber</w:t>
      </w:r>
    </w:p>
    <w:p>
      <w:pPr>
        <w:pStyle w:val="ListParagraph"/>
        <w:numPr>
          <w:ilvl w:val="0"/>
          <w:numId w:val="2"/>
        </w:numPr>
        <w:spacing w:after="50" w:line="264"/>
      </w:pPr>
      <w:r>
        <w:rPr>
          <w:rFonts w:ascii="Arial" w:cs="Arial" w:eastAsia="Arial" w:hAnsi="Arial"/>
          <w:color w:val="333333"/>
          <w:sz w:val="19"/>
          <w:szCs w:val="19"/>
        </w:rPr>
        <w:t xml:space="preserve">Slips on wet, contaminated surfaces around open access points, pits and drainage areas</w:t>
      </w:r>
    </w:p>
    <w:p>
      <w:pPr>
        <w:pStyle w:val="ListParagraph"/>
        <w:numPr>
          <w:ilvl w:val="0"/>
          <w:numId w:val="2"/>
        </w:numPr>
        <w:spacing w:after="50" w:line="264"/>
      </w:pPr>
      <w:r>
        <w:rPr>
          <w:rFonts w:ascii="Arial" w:cs="Arial" w:eastAsia="Arial" w:hAnsi="Arial"/>
          <w:color w:val="333333"/>
          <w:sz w:val="19"/>
          <w:szCs w:val="19"/>
        </w:rPr>
        <w:t xml:space="preserve">Cuts, abrasions and puncture wounds from broken pipework, tools or debris, with a higher risk of infection due to sewage contamination</w:t>
      </w:r>
    </w:p>
    <w:p>
      <w:pPr>
        <w:pStyle w:val="ListParagraph"/>
        <w:numPr>
          <w:ilvl w:val="0"/>
          <w:numId w:val="2"/>
        </w:numPr>
        <w:spacing w:after="50" w:line="264"/>
      </w:pPr>
      <w:r>
        <w:rPr>
          <w:rFonts w:ascii="Arial" w:cs="Arial" w:eastAsia="Arial" w:hAnsi="Arial"/>
          <w:color w:val="333333"/>
          <w:sz w:val="19"/>
          <w:szCs w:val="19"/>
        </w:rPr>
        <w:t xml:space="preserve">Entanglement or injury from drain-clearing equipment, including rotating cables and high-pressure jetting nozzles</w:t>
      </w:r>
    </w:p>
    <w:p>
      <w:pPr>
        <w:pStyle w:val="ListParagraph"/>
        <w:numPr>
          <w:ilvl w:val="0"/>
          <w:numId w:val="2"/>
        </w:numPr>
        <w:spacing w:after="50" w:line="264"/>
      </w:pPr>
      <w:r>
        <w:rPr>
          <w:rFonts w:ascii="Arial" w:cs="Arial" w:eastAsia="Arial" w:hAnsi="Arial"/>
          <w:color w:val="333333"/>
          <w:sz w:val="19"/>
          <w:szCs w:val="19"/>
        </w:rPr>
        <w:t xml:space="preserve">Manual handling injury from lifting manhole covers, access lids or pipework</w:t>
      </w:r>
    </w:p>
    <w:p>
      <w:pPr>
        <w:pStyle w:val="ListParagraph"/>
        <w:numPr>
          <w:ilvl w:val="0"/>
          <w:numId w:val="2"/>
        </w:numPr>
        <w:spacing w:after="50" w:line="264"/>
      </w:pPr>
      <w:r>
        <w:rPr>
          <w:rFonts w:ascii="Arial" w:cs="Arial" w:eastAsia="Arial" w:hAnsi="Arial"/>
          <w:color w:val="333333"/>
          <w:sz w:val="19"/>
          <w:szCs w:val="19"/>
        </w:rPr>
        <w:t xml:space="preserve">Cross-contamination of vehicles, tools, other equipment and other worksites from contaminated clothing, footwear or gear</w:t>
      </w:r>
    </w:p>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2   |   PPE REQUIRED</w:t>
      </w:r>
    </w:p>
    <w:tbl>
      <w:tblPr>
        <w:tblW w:type="dxa" w:w="10106"/>
        <w:tblBorders>
          <w:top w:val="single" w:color="C9CED9" w:sz="4"/>
          <w:left w:val="single" w:color="C9CED9" w:sz="4"/>
          <w:bottom w:val="single" w:color="C9CED9" w:sz="4"/>
          <w:right w:val="single" w:color="C9CED9" w:sz="4"/>
          <w:insideH w:val="none" w:color="FFFFFF" w:sz="0"/>
          <w:insideV w:val="none" w:color="FFFFFF" w:sz="0"/>
        </w:tblBorders>
        <w:tblLayout w:type="fixed"/>
      </w:tblPr>
      <w:tblGrid>
        <w:gridCol w:w="1263"/>
        <w:gridCol w:w="1263"/>
        <w:gridCol w:w="1263"/>
        <w:gridCol w:w="1263"/>
        <w:gridCol w:w="1263"/>
        <w:gridCol w:w="1263"/>
        <w:gridCol w:w="1263"/>
        <w:gridCol w:w="1263"/>
      </w:tblGrid>
      <w:tr>
        <w:trPr>
          <w:cantSplit/>
        </w:trPr>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Hard</w:t>
            </w:r>
          </w:p>
          <w:p>
            <w:pPr>
              <w:spacing w:after="0" w:line="240"/>
              <w:jc w:val="center"/>
            </w:pPr>
            <w:r>
              <w:rPr>
                <w:rFonts w:ascii="Arial" w:cs="Arial" w:eastAsia="Arial" w:hAnsi="Arial"/>
                <w:b/>
                <w:bCs/>
                <w:color w:val="1E2845"/>
                <w:sz w:val="15"/>
                <w:szCs w:val="15"/>
              </w:rPr>
              <w:t xml:space="preserve">Hat</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Steel Cap</w:t>
            </w:r>
          </w:p>
          <w:p>
            <w:pPr>
              <w:spacing w:after="0" w:line="240"/>
              <w:jc w:val="center"/>
            </w:pPr>
            <w:r>
              <w:rPr>
                <w:rFonts w:ascii="Arial" w:cs="Arial" w:eastAsia="Arial" w:hAnsi="Arial"/>
                <w:b/>
                <w:bCs/>
                <w:color w:val="1E2845"/>
                <w:sz w:val="15"/>
                <w:szCs w:val="15"/>
              </w:rPr>
              <w:t xml:space="preserve">Boots</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Ear</w:t>
            </w:r>
          </w:p>
          <w:p>
            <w:pPr>
              <w:spacing w:after="0" w:line="240"/>
              <w:jc w:val="center"/>
            </w:pPr>
            <w:r>
              <w:rPr>
                <w:rFonts w:ascii="Arial" w:cs="Arial" w:eastAsia="Arial" w:hAnsi="Arial"/>
                <w:b/>
                <w:bCs/>
                <w:color w:val="1E2845"/>
                <w:sz w:val="15"/>
                <w:szCs w:val="15"/>
              </w:rPr>
              <w:t xml:space="preserve">Protection</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Eye</w:t>
            </w:r>
          </w:p>
          <w:p>
            <w:pPr>
              <w:spacing w:after="0" w:line="240"/>
              <w:jc w:val="center"/>
            </w:pPr>
            <w:r>
              <w:rPr>
                <w:rFonts w:ascii="Arial" w:cs="Arial" w:eastAsia="Arial" w:hAnsi="Arial"/>
                <w:b/>
                <w:bCs/>
                <w:color w:val="1E2845"/>
                <w:sz w:val="15"/>
                <w:szCs w:val="15"/>
              </w:rPr>
              <w:t xml:space="preserve">Protection</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Protective</w:t>
            </w:r>
          </w:p>
          <w:p>
            <w:pPr>
              <w:spacing w:after="0" w:line="240"/>
              <w:jc w:val="center"/>
            </w:pPr>
            <w:r>
              <w:rPr>
                <w:rFonts w:ascii="Arial" w:cs="Arial" w:eastAsia="Arial" w:hAnsi="Arial"/>
                <w:b/>
                <w:bCs/>
                <w:color w:val="1E2845"/>
                <w:sz w:val="15"/>
                <w:szCs w:val="15"/>
              </w:rPr>
              <w:t xml:space="preserve">Gloves</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P2</w:t>
            </w:r>
          </w:p>
          <w:p>
            <w:pPr>
              <w:spacing w:after="0" w:line="240"/>
              <w:jc w:val="center"/>
            </w:pPr>
            <w:r>
              <w:rPr>
                <w:rFonts w:ascii="Arial" w:cs="Arial" w:eastAsia="Arial" w:hAnsi="Arial"/>
                <w:b/>
                <w:bCs/>
                <w:color w:val="1E2845"/>
                <w:sz w:val="15"/>
                <w:szCs w:val="15"/>
              </w:rPr>
              <w:t xml:space="preserve">Mask</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Sun</w:t>
            </w:r>
          </w:p>
          <w:p>
            <w:pPr>
              <w:spacing w:after="0" w:line="240"/>
              <w:jc w:val="center"/>
            </w:pPr>
            <w:r>
              <w:rPr>
                <w:rFonts w:ascii="Arial" w:cs="Arial" w:eastAsia="Arial" w:hAnsi="Arial"/>
                <w:b/>
                <w:bCs/>
                <w:color w:val="1E2845"/>
                <w:sz w:val="15"/>
                <w:szCs w:val="15"/>
              </w:rPr>
              <w:t xml:space="preserve">Protection</w:t>
            </w:r>
          </w:p>
        </w:tc>
        <w:tc>
          <w:tcPr>
            <w:tcW w:type="dxa" w:w="1263"/>
            <w:shd w:fill="F1F3F6" w:color="auto" w:val="clear"/>
            <w:tcMar>
              <w:top w:type="dxa" w:w="70"/>
              <w:left w:type="dxa" w:w="40"/>
              <w:bottom w:type="dxa" w:w="70"/>
              <w:right w:type="dxa" w:w="40"/>
            </w:tcMar>
            <w:vAlign w:val="center"/>
          </w:tcPr>
          <w:p>
            <w:pPr>
              <w:spacing w:after="0" w:line="240"/>
              <w:jc w:val="center"/>
            </w:pPr>
            <w:r>
              <w:rPr>
                <w:rFonts w:ascii="Arial" w:cs="Arial" w:eastAsia="Arial" w:hAnsi="Arial"/>
                <w:b/>
                <w:bCs/>
                <w:color w:val="1E2845"/>
                <w:sz w:val="15"/>
                <w:szCs w:val="15"/>
              </w:rPr>
              <w:t xml:space="preserve">High Vis</w:t>
            </w:r>
          </w:p>
          <w:p>
            <w:pPr>
              <w:spacing w:after="0" w:line="240"/>
              <w:jc w:val="center"/>
            </w:pPr>
            <w:r>
              <w:rPr>
                <w:rFonts w:ascii="Arial" w:cs="Arial" w:eastAsia="Arial" w:hAnsi="Arial"/>
                <w:b/>
                <w:bCs/>
                <w:color w:val="1E2845"/>
                <w:sz w:val="15"/>
                <w:szCs w:val="15"/>
              </w:rPr>
              <w:t xml:space="preserve">Clothing</w:t>
            </w:r>
          </w:p>
        </w:tc>
      </w:tr>
      <w:tr>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 cy="438150"/>
                          </a:xfrm>
                          <a:prstGeom prst="rect">
                            <a:avLst/>
                          </a:prstGeom>
                        </pic:spPr>
                      </pic:pic>
                    </a:graphicData>
                  </a:graphic>
                </wp:inline>
              </w:drawing>
            </w:r>
          </w:p>
        </w:tc>
        <w:tc>
          <w:tcPr>
            <w:tcW w:type="dxa" w:w="1263"/>
            <w:tcMar>
              <w:top w:type="dxa" w:w="90"/>
              <w:left w:type="dxa" w:w="40"/>
              <w:bottom w:type="dxa" w:w="40"/>
              <w:right w:type="dxa" w:w="40"/>
            </w:tcMar>
            <w:vAlign w:val="center"/>
          </w:tcPr>
          <w:p>
            <w:pPr>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 cy="438150"/>
                          </a:xfrm>
                          <a:prstGeom prst="rect">
                            <a:avLst/>
                          </a:prstGeom>
                        </pic:spPr>
                      </pic:pic>
                    </a:graphicData>
                  </a:graphic>
                </wp:inline>
              </w:drawing>
            </w:r>
          </w:p>
        </w:tc>
      </w:tr>
      <w:tr>
        <w:tc>
          <w:tcPr>
            <w:tcW w:type="dxa" w:w="1263"/>
            <w:tcMar>
              <w:top w:type="dxa" w:w="20"/>
              <w:left w:type="dxa" w:w="40"/>
              <w:bottom w:type="dxa" w:w="90"/>
              <w:right w:type="dxa" w:w="40"/>
            </w:tcMar>
            <w:vAlign w:val="center"/>
          </w:tcPr>
          <w:p>
            <w:pPr>
              <w:spacing w:after="0" w:line="276"/>
              <w:jc w:val="center"/>
            </w:pPr>
            <w:sdt>
              <w:sdtPr>
                <w14:checkbox>
                  <w14:checked w14:val="0"/>
                  <w14:checkedState w14:val="2612" w14:font="MS Gothic"/>
                  <w14:uncheckedState w14:val="2610" w14:font="MS Gothic"/>
                </w14:checkbox>
              </w:sdtPr>
              <w:sdtContent>
                <w:r>
                  <w:sym w:char="2610"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1"/>
                  <w14:checkedState w14:val="2612" w14:font="MS Gothic"/>
                  <w14:uncheckedState w14:val="2610" w14:font="MS Gothic"/>
                </w14:checkbox>
              </w:sdtPr>
              <w:sdtContent>
                <w:r>
                  <w:sym w:char="2612"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0"/>
                  <w14:checkedState w14:val="2612" w14:font="MS Gothic"/>
                  <w14:uncheckedState w14:val="2610" w14:font="MS Gothic"/>
                </w14:checkbox>
              </w:sdtPr>
              <w:sdtContent>
                <w:r>
                  <w:sym w:char="2610"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1"/>
                  <w14:checkedState w14:val="2612" w14:font="MS Gothic"/>
                  <w14:uncheckedState w14:val="2610" w14:font="MS Gothic"/>
                </w14:checkbox>
              </w:sdtPr>
              <w:sdtContent>
                <w:r>
                  <w:sym w:char="2612"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1"/>
                  <w14:checkedState w14:val="2612" w14:font="MS Gothic"/>
                  <w14:uncheckedState w14:val="2610" w14:font="MS Gothic"/>
                </w14:checkbox>
              </w:sdtPr>
              <w:sdtContent>
                <w:r>
                  <w:sym w:char="2612"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1"/>
                  <w14:checkedState w14:val="2612" w14:font="MS Gothic"/>
                  <w14:uncheckedState w14:val="2610" w14:font="MS Gothic"/>
                </w14:checkbox>
              </w:sdtPr>
              <w:sdtContent>
                <w:r>
                  <w:sym w:char="2612"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0"/>
                  <w14:checkedState w14:val="2612" w14:font="MS Gothic"/>
                  <w14:uncheckedState w14:val="2610" w14:font="MS Gothic"/>
                </w14:checkbox>
              </w:sdtPr>
              <w:sdtContent>
                <w:r>
                  <w:sym w:char="2610" w:font="MS Gothic"/>
                </w:r>
              </w:sdtContent>
            </w:sdt>
          </w:p>
        </w:tc>
        <w:tc>
          <w:tcPr>
            <w:tcW w:type="dxa" w:w="1263"/>
            <w:tcMar>
              <w:top w:type="dxa" w:w="20"/>
              <w:left w:type="dxa" w:w="40"/>
              <w:bottom w:type="dxa" w:w="90"/>
              <w:right w:type="dxa" w:w="40"/>
            </w:tcMar>
            <w:vAlign w:val="center"/>
          </w:tcPr>
          <w:p>
            <w:pPr>
              <w:spacing w:after="0" w:line="276"/>
              <w:jc w:val="center"/>
            </w:pPr>
            <w:sdt>
              <w:sdtPr>
                <w14:checkbox>
                  <w14:checked w14:val="1"/>
                  <w14:checkedState w14:val="2612" w14:font="MS Gothic"/>
                  <w14:uncheckedState w14:val="2610" w14:font="MS Gothic"/>
                </w14:checkbox>
              </w:sdtPr>
              <w:sdtContent>
                <w:r>
                  <w:sym w:char="2612" w:font="MS Gothic"/>
                </w:r>
              </w:sdtContent>
            </w:sdt>
          </w:p>
        </w:tc>
      </w:tr>
    </w:tbl>
    <w:p>
      <w:pPr>
        <w:spacing w:before="90" w:line="252"/>
      </w:pPr>
      <w:r>
        <w:rPr>
          <w:rFonts w:ascii="Arial" w:cs="Arial" w:eastAsia="Arial" w:hAnsi="Arial"/>
          <w:b/>
          <w:bCs/>
          <w:color w:val="1E2845"/>
          <w:sz w:val="16"/>
          <w:szCs w:val="16"/>
        </w:rPr>
        <w:t xml:space="preserve">Additional PPE: </w:t>
      </w:r>
      <w:r>
        <w:rPr>
          <w:rFonts w:ascii="Arial" w:cs="Arial" w:eastAsia="Arial" w:hAnsi="Arial"/>
          <w:i/>
          <w:iCs/>
          <w:color w:val="5D6680"/>
          <w:sz w:val="16"/>
          <w:szCs w:val="16"/>
        </w:rPr>
        <w:t xml:space="preserve">waterproof, liquid-repellent gloves and coveralls or long-sleeved protective clothing when handling raw sewage or contaminated equipment, a face shield in addition to eye protection where splash risk is high, and sun protection for extended outdoor work. Atmosphere-supplied or other specialist respiratory protection for confined space entry is addressed in the confined space entry procedure, not by a P2 mask alone.</w:t>
      </w:r>
    </w:p>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3   |   RELATED DOCUMENTS</w:t>
      </w:r>
    </w:p>
    <w:p>
      <w:pPr>
        <w:pStyle w:val="ListParagraph"/>
        <w:numPr>
          <w:ilvl w:val="0"/>
          <w:numId w:val="2"/>
        </w:numPr>
        <w:spacing w:after="50" w:line="264"/>
      </w:pPr>
      <w:r>
        <w:rPr>
          <w:rFonts w:ascii="Arial" w:cs="Arial" w:eastAsia="Arial" w:hAnsi="Arial"/>
          <w:color w:val="333333"/>
          <w:sz w:val="19"/>
          <w:szCs w:val="19"/>
        </w:rPr>
        <w:t xml:space="preserve">Confined Space Entry procedure and permit, where entry into a pit, manhole or access chamber is required</w:t>
      </w:r>
    </w:p>
    <w:p>
      <w:pPr>
        <w:pStyle w:val="ListParagraph"/>
        <w:numPr>
          <w:ilvl w:val="0"/>
          <w:numId w:val="2"/>
        </w:numPr>
        <w:spacing w:after="50" w:line="264"/>
      </w:pPr>
      <w:r>
        <w:rPr>
          <w:rFonts w:ascii="Arial" w:cs="Arial" w:eastAsia="Arial" w:hAnsi="Arial"/>
          <w:color w:val="333333"/>
          <w:sz w:val="19"/>
          <w:szCs w:val="19"/>
        </w:rPr>
        <w:t xml:space="preserve">Plant-specific SOP for powered drain-clearing or jetting equipment</w:t>
      </w:r>
    </w:p>
    <w:p>
      <w:pPr>
        <w:pStyle w:val="ListParagraph"/>
        <w:numPr>
          <w:ilvl w:val="0"/>
          <w:numId w:val="2"/>
        </w:numPr>
        <w:spacing w:after="50" w:line="264"/>
      </w:pPr>
      <w:r>
        <w:rPr>
          <w:rFonts w:ascii="Arial" w:cs="Arial" w:eastAsia="Arial" w:hAnsi="Arial"/>
          <w:color w:val="333333"/>
          <w:sz w:val="19"/>
          <w:szCs w:val="19"/>
        </w:rPr>
        <w:t xml:space="preserve">Hazardous Atmospheres and Gas Testing procedure</w:t>
      </w:r>
    </w:p>
    <w:p>
      <w:pPr>
        <w:pStyle w:val="ListParagraph"/>
        <w:numPr>
          <w:ilvl w:val="0"/>
          <w:numId w:val="2"/>
        </w:numPr>
        <w:spacing w:after="50" w:line="264"/>
      </w:pPr>
      <w:r>
        <w:rPr>
          <w:rFonts w:ascii="Arial" w:cs="Arial" w:eastAsia="Arial" w:hAnsi="Arial"/>
          <w:color w:val="333333"/>
          <w:sz w:val="19"/>
          <w:szCs w:val="19"/>
        </w:rPr>
        <w:t xml:space="preserve">Infection Control and Biological Hazards procedure</w:t>
      </w:r>
    </w:p>
    <w:p>
      <w:pPr>
        <w:pStyle w:val="ListParagraph"/>
        <w:numPr>
          <w:ilvl w:val="0"/>
          <w:numId w:val="2"/>
        </w:numPr>
        <w:spacing w:after="50" w:line="264"/>
      </w:pPr>
      <w:r>
        <w:rPr>
          <w:rFonts w:ascii="Arial" w:cs="Arial" w:eastAsia="Arial" w:hAnsi="Arial"/>
          <w:color w:val="333333"/>
          <w:sz w:val="19"/>
          <w:szCs w:val="19"/>
        </w:rPr>
        <w:t xml:space="preserve">Manual Tasks procedure</w:t>
      </w:r>
    </w:p>
    <w:p>
      <w:pPr>
        <w:pStyle w:val="ListParagraph"/>
        <w:numPr>
          <w:ilvl w:val="0"/>
          <w:numId w:val="2"/>
        </w:numPr>
        <w:spacing w:after="50" w:line="264"/>
      </w:pPr>
      <w:r>
        <w:rPr>
          <w:rFonts w:ascii="Arial" w:cs="Arial" w:eastAsia="Arial" w:hAnsi="Arial"/>
          <w:color w:val="333333"/>
          <w:sz w:val="19"/>
          <w:szCs w:val="19"/>
        </w:rPr>
        <w:t xml:space="preserve">Incident and Injury Reporting procedure</w:t>
      </w:r>
    </w:p>
    <w:p>
      <w:pPr>
        <w:pStyle w:val="ListParagraph"/>
        <w:numPr>
          <w:ilvl w:val="0"/>
          <w:numId w:val="2"/>
        </w:numPr>
        <w:spacing w:after="50" w:line="264"/>
      </w:pPr>
      <w:r>
        <w:rPr>
          <w:rFonts w:ascii="Arial" w:cs="Arial" w:eastAsia="Arial" w:hAnsi="Arial"/>
          <w:color w:val="333333"/>
          <w:sz w:val="19"/>
          <w:szCs w:val="19"/>
        </w:rPr>
        <w:t xml:space="preserve">Site-specific SWMS or JSA, if this task forms part of high risk construction work</w:t>
      </w:r>
    </w:p>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4   |   PRE-OPERATIONAL CHECKS</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
        <w:gridCol w:w="9646"/>
      </w:tblGrid>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Confirm your training and competency in sewer work and contamination control is current.</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2</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Confirm whether the task requires entry into a pit, manhole or access chamber; if so, do not proceed until a confined space entry permit and procedure are in place.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3</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Check for nearby gas, electrical or other services before opening an inspection point or excavating around sewer pipework.</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4</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Inspect PPE, including waterproof gloves, eye protection and protective clothing, for damage before use.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5</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Cover any cuts, grazes or open wounds with a waterproof dressing before starting work.</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6</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Check drain-clearing equipment is in good working order and immobilised before setting up.</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7</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Confirm the water supply shut-off point or flow diversion option for the section of sewer line being worked on.</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8</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Set up barricades and signage around the open access point before starting work.</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9</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Confirm handwashing and decontamination facilities are available before starting.</w:t>
            </w:r>
          </w:p>
        </w:tc>
      </w:tr>
    </w:tbl>
    <w:p>
      <w:pPr>
        <w:spacing w:after="180" w:line="120"/>
      </w:pPr>
    </w:p>
    <w:p>
      <w:pPr>
        <w:keepNext/>
        <w:keepLines/>
        <w:pBdr>
          <w:top w:val="single" w:color="E8552B" w:sz="6" w:space="5"/>
          <w:bottom w:val="single" w:color="E8552B" w:sz="6" w:space="5"/>
          <w:left w:val="single" w:color="E8552B" w:sz="6" w:space="8"/>
          <w:right w:val="single" w:color="E8552B" w:sz="6" w:space="8"/>
        </w:pBdr>
        <w:shd w:fill="E8552B" w:color="auto" w:val="clear"/>
        <w:spacing w:after="200" w:before="0" w:line="240"/>
        <w:ind w:left="170" w:right="170"/>
      </w:pPr>
      <w:r>
        <w:rPr>
          <w:rFonts w:ascii="Arial" w:cs="Arial" w:eastAsia="Arial" w:hAnsi="Arial"/>
          <w:b/>
          <w:bCs/>
          <w:color w:val="FFFFFF"/>
          <w:spacing w:val="20"/>
          <w:sz w:val="17"/>
          <w:szCs w:val="17"/>
        </w:rPr>
        <w:t xml:space="preserve">5   |   ISOLATION AND ENERGY CONTROL</w:t>
      </w:r>
    </w:p>
    <w:p>
      <w:pPr>
        <w:spacing w:after="80" w:line="276"/>
      </w:pPr>
      <w:r>
        <w:rPr>
          <w:rFonts w:ascii="Arial" w:cs="Arial" w:eastAsia="Arial" w:hAnsi="Arial"/>
          <w:color w:val="333333"/>
          <w:sz w:val="19"/>
          <w:szCs w:val="19"/>
        </w:rPr>
        <w:t xml:space="preserve">This task does not involve fixed electrical or hydraulic plant with stored energy of its own, but real residual risks must be controlled before work begins. Where practical, isolate or shut off the water supply, or divert flow away from the section of sewer line being worked on, before disconnecting pipework or opening an inspection point, to reduce the volume and pressure of any sewage discharge. Turn off and immobilise drain-clearing or jetting equipment, such as by isolating power, removing the control key or securing the hose reel, whenever it is not in active use, and never leave running equipment unattended. Powered drain-clearing and jetting equipment must be operated in line with the applicable plant-specific SOP. If entry into a pit, manhole or access chamber is required to complete the task, stop and follow Company Name's confined space entry procedure and permit system; this SOP does not cover confined space entry.</w:t>
      </w:r>
    </w:p>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6   |   OPERATING PROCEDURE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
        <w:gridCol w:w="9646"/>
      </w:tblGrid>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Barricade and sign the work area around the open access point before starting.</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2</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Isolate or divert the water supply or flow, where practical, before opening the sewer line or inspection point.</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3</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Put on required PPE, including waterproof gloves, eye protection and protective clothing, before any contact with sewage or contaminated surfaces.</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4</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Lift manhole covers or access lids using correct manual handling technique and the proper lifting tool; do not lift with bare hands if edges are corroded or sharp.</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5</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Do not enter a pit, manhole or access chamber. If entry is required to complete the task, stop and follow Company Name's confined space entry procedure.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6</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Where possible, work from ground level using extended tools, drain cameras or jetting equipment to clear blockages or inspect pipework.</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7</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Operate drain-clearing equipment in line with the plant-specific SOP, keeping hands and loose clothing clear of rotating cables and jetting nozzles.</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8</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Avoid direct hand contact with raw sewage; use tools, not hands, to clear debris or blockages where practical.</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9</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Where hazardous gas is foreseeable, test the atmosphere from a safe position with a suitable calibrated multi-gas detector before an access point is opened and while work continues near it, stand upwind, ventilate and keep others clear. Do not rely on smell or on symptoms: hydrogen sulphide deadens the sense of smell at dangerous concentrations, and by the time you feel unwell you are already exposed. Stop, withdraw everyone and reassess if the detector alarms.</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10</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Keep food, drink and cigarettes out of the work area and avoid touching your face, eyes or mouth while working.</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11</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Contain and control any sewage overflow or spill to stop it spreading to clean areas, stormwater or waterways.</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12</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Reinstate pipework, fittings and the inspection cover securely once work is complete.</w:t>
            </w:r>
          </w:p>
        </w:tc>
      </w:tr>
    </w:tbl>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7   |   SHUTDOWN, HOUSEKEEPING AND POST-OPERATION</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
        <w:gridCol w:w="9646"/>
      </w:tblGrid>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1</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Restore the water supply or flow once work and testing are confirmed complete.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2</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Clean and decontaminate tools, equipment and drain-clearing machinery before returning them to the vehicle or storage.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3</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Remove PPE carefully to avoid transferring contamination, and dispose of single-use items appropriately.</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4</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Wash hands and any exposed skin thoroughly with soap and clean water immediately after removing PPE.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5</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Clean footwear, particularly the soles, before entering the vehicle or moving to another work area.</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6</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Launder contaminated clothing separately from other laundry, using a disinfectant wash where practical.</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7</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Shower as soon as practical after the job, particularly if skin contact with sewage occurred.</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8</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Remove barricades and signage once the area is safe and the access point is secure.</w:t>
            </w:r>
          </w:p>
        </w:tc>
      </w:tr>
      <w:tr>
        <w:trPr>
          <w:cantSplit/>
        </w:trPr>
        <w:tc>
          <w:tcPr>
            <w:tcW w:type="dxa" w:w="460"/>
            <w:tcBorders>
              <w:top w:val="single" w:color="FFFFFF" w:sz="18"/>
              <w:left w:val="none" w:color="FFFFFF" w:sz="0"/>
              <w:bottom w:val="single" w:color="FFFFFF" w:sz="18"/>
              <w:right w:val="none" w:color="FFFFFF" w:sz="0"/>
            </w:tcBorders>
            <w:shd w:fill="E8552B" w:color="auto" w:val="clear"/>
            <w:tcMar>
              <w:top w:type="dxa" w:w="55"/>
              <w:left w:type="dxa" w:w="40"/>
              <w:bottom w:type="dxa" w:w="55"/>
              <w:right w:type="dxa" w:w="40"/>
            </w:tcMar>
            <w:vAlign w:val="center"/>
          </w:tcPr>
          <w:p>
            <w:pPr>
              <w:spacing w:after="0" w:line="276"/>
              <w:jc w:val="center"/>
            </w:pPr>
            <w:r>
              <w:rPr>
                <w:rFonts w:ascii="Arial" w:cs="Arial" w:eastAsia="Arial" w:hAnsi="Arial"/>
                <w:b/>
                <w:bCs/>
                <w:color w:val="FFFFFF"/>
                <w:sz w:val="19"/>
                <w:szCs w:val="19"/>
              </w:rPr>
              <w:t xml:space="preserve">9</w:t>
            </w:r>
          </w:p>
        </w:tc>
        <w:tc>
          <w:tcPr>
            <w:tcW w:type="dxa" w:w="9646"/>
            <w:tcBorders>
              <w:top w:val="single" w:color="FFFFFF" w:sz="18"/>
              <w:left w:val="none" w:color="FFFFFF" w:sz="0"/>
              <w:bottom w:val="single" w:color="FFFFFF" w:sz="18"/>
              <w:right w:val="none" w:color="FFFFFF" w:sz="0"/>
            </w:tcBorders>
            <w:shd w:fill="F1F3F6" w:color="auto" w:val="clear"/>
            <w:tcMar>
              <w:top w:type="dxa" w:w="55"/>
              <w:left w:type="dxa" w:w="160"/>
              <w:bottom w:type="dxa" w:w="55"/>
              <w:right w:type="dxa" w:w="160"/>
            </w:tcMar>
            <w:vAlign w:val="center"/>
          </w:tcPr>
          <w:p>
            <w:pPr>
              <w:spacing w:after="0" w:line="276"/>
            </w:pPr>
            <w:r>
              <w:rPr>
                <w:rFonts w:ascii="Arial" w:cs="Arial" w:eastAsia="Arial" w:hAnsi="Arial"/>
                <w:color w:val="333333"/>
                <w:sz w:val="19"/>
                <w:szCs w:val="19"/>
              </w:rPr>
              <w:t xml:space="preserve">Report any spill, exposure, near miss or damaged equipment to your supervisor.</w:t>
            </w:r>
          </w:p>
        </w:tc>
      </w:tr>
    </w:tbl>
    <w:p>
      <w:pPr>
        <w:spacing w:after="180" w:line="120"/>
      </w:pPr>
    </w:p>
    <w:p>
      <w:pPr>
        <w:keepNext/>
        <w:keepLines/>
        <w:pBdr>
          <w:top w:val="single" w:color="E8552B" w:sz="6" w:space="5"/>
          <w:bottom w:val="single" w:color="E8552B" w:sz="6" w:space="5"/>
          <w:left w:val="single" w:color="E8552B" w:sz="6" w:space="8"/>
          <w:right w:val="single" w:color="E8552B" w:sz="6" w:space="8"/>
        </w:pBdr>
        <w:shd w:fill="E8552B" w:color="auto" w:val="clear"/>
        <w:spacing w:after="200" w:before="0" w:line="240"/>
        <w:ind w:left="170" w:right="170"/>
      </w:pPr>
      <w:r>
        <w:rPr>
          <w:rFonts w:ascii="Arial" w:cs="Arial" w:eastAsia="Arial" w:hAnsi="Arial"/>
          <w:b/>
          <w:bCs/>
          <w:color w:val="FFFFFF"/>
          <w:spacing w:val="20"/>
          <w:sz w:val="17"/>
          <w:szCs w:val="17"/>
        </w:rPr>
        <w:t xml:space="preserve">8   |   EMERGENCY AND ABNORMAL SITUATIONS</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rPr>
          <w:cantSplit w:val="false"/>
        </w:trPr>
        <w:tc>
          <w:tcPr>
            <w:tcW w:type="dxa" w:w="10106"/>
            <w:tcBorders>
              <w:top w:val="none" w:color="FFFFFF" w:sz="0"/>
              <w:left w:val="single" w:color="E8552B" w:sz="24"/>
              <w:bottom w:val="none" w:color="FFFFFF" w:sz="0"/>
              <w:right w:val="none" w:color="FFFFFF" w:sz="0"/>
            </w:tcBorders>
            <w:shd w:fill="FDEFE9" w:color="auto" w:val="clear"/>
            <w:tcMar>
              <w:top w:type="dxa" w:w="130"/>
              <w:left w:type="dxa" w:w="220"/>
              <w:bottom w:type="dxa" w:w="130"/>
              <w:right w:type="dxa" w:w="220"/>
            </w:tcMar>
            <w:vAlign w:val="center"/>
          </w:tcPr>
          <w:p>
            <w:pPr>
              <w:spacing w:after="60" w:line="276"/>
            </w:pPr>
            <w:r>
              <w:rPr>
                <w:rFonts w:ascii="Arial" w:cs="Arial" w:eastAsia="Arial" w:hAnsi="Arial"/>
                <w:color w:val="333333"/>
                <w:sz w:val="19"/>
                <w:szCs w:val="19"/>
              </w:rPr>
              <w:t xml:space="preserve">If you experience symptoms such as nausea, dizziness, breathing difficulty or notice a strong odour suggesting a hazardous gas, stop work immediately, move to fresh air away from the area, and alert others nearby. If sewage contacts broken skin, the eyes or the mouth, wash the area immediately with clean water and seek medical advice, telling the practitioner about the sewage exposure. If a workmate collapses near or in an open access point or pit, do not enter to assist; call emergency services immediately and follow Company Name's confined space and emergency rescue arrangements. Report all spills, uncontrolled discharge, exposure incidents and near misses to your supervisor and follow Company Name's incident and injury reporting procedures.</w:t>
            </w:r>
          </w:p>
        </w:tc>
      </w:tr>
    </w:tbl>
    <w:p>
      <w:pPr>
        <w:spacing w:before="120" w:line="252"/>
      </w:pPr>
      <w:r>
        <w:rPr>
          <w:rFonts w:ascii="Arial" w:cs="Arial" w:eastAsia="Arial" w:hAnsi="Arial"/>
          <w:i/>
          <w:iCs/>
          <w:color w:val="5D6680"/>
          <w:sz w:val="15"/>
          <w:szCs w:val="15"/>
        </w:rPr>
        <w:t xml:space="preserve">This SOP does not cover every hazard associated with this task and should be used alongside site-specific training, your organisation's confined space entry and infection control procedures, and any relevant SWMS or JSA. It is not a substitute for proper instruction.</w:t>
      </w:r>
    </w:p>
    <w:p>
      <w:pPr>
        <w:spacing w:after="180" w:line="120"/>
      </w:pPr>
    </w:p>
    <w:p>
      <w:pPr>
        <w:keepNext/>
        <w:keepLines/>
        <w:pBdr>
          <w:top w:val="single" w:color="1E2845" w:sz="6" w:space="5"/>
          <w:bottom w:val="single" w:color="1E2845" w:sz="6" w:space="5"/>
          <w:left w:val="single" w:color="1E2845" w:sz="6" w:space="8"/>
          <w:right w:val="single" w:color="1E2845" w:sz="6" w:space="8"/>
        </w:pBdr>
        <w:shd w:fill="1E2845" w:color="auto" w:val="clear"/>
        <w:spacing w:after="200" w:before="0" w:line="240"/>
        <w:ind w:left="170" w:right="170"/>
      </w:pPr>
      <w:r>
        <w:rPr>
          <w:rFonts w:ascii="Arial" w:cs="Arial" w:eastAsia="Arial" w:hAnsi="Arial"/>
          <w:b/>
          <w:bCs/>
          <w:color w:val="FFFFFF"/>
          <w:spacing w:val="20"/>
          <w:sz w:val="17"/>
          <w:szCs w:val="17"/>
        </w:rPr>
        <w:t xml:space="preserve">9   |   COMPETENCY ACKNOWLEDGEMENT</w:t>
      </w:r>
    </w:p>
    <w:tbl>
      <w:tblPr>
        <w:tblW w:type="dxa" w:w="10106"/>
        <w:tblBorders>
          <w:top w:val="single" w:color="C9CED9" w:sz="4"/>
          <w:left w:val="single" w:color="C9CED9" w:sz="4"/>
          <w:bottom w:val="single" w:color="C9CED9" w:sz="4"/>
          <w:right w:val="single" w:color="C9CED9" w:sz="4"/>
          <w:insideH w:val="single" w:color="C9CED9" w:sz="4"/>
          <w:insideV w:val="single" w:color="C9CED9" w:sz="4"/>
        </w:tblBorders>
        <w:tblLayout w:type="fixed"/>
      </w:tblPr>
      <w:tblGrid>
        <w:gridCol w:w="5000"/>
        <w:gridCol w:w="1800"/>
        <w:gridCol w:w="3306"/>
      </w:tblGrid>
      <w:tr>
        <w:trPr>
          <w:trHeight w:val="400" w:hRule="exact"/>
        </w:trPr>
        <w:tc>
          <w:tcPr>
            <w:tcW w:type="dxa" w:w="5000"/>
            <w:shd w:fill="E4E7EE" w:color="auto" w:val="clear"/>
            <w:tcMar>
              <w:top w:type="dxa" w:w="60"/>
              <w:left w:type="dxa" w:w="120"/>
              <w:bottom w:type="dxa" w:w="60"/>
              <w:right w:type="dxa" w:w="120"/>
            </w:tcMar>
            <w:vAlign w:val="center"/>
          </w:tcPr>
          <w:p>
            <w:pPr>
              <w:keepNext/>
              <w:spacing w:after="0" w:line="276"/>
            </w:pPr>
            <w:r>
              <w:rPr>
                <w:rFonts w:ascii="Arial" w:cs="Arial" w:eastAsia="Arial" w:hAnsi="Arial"/>
                <w:b/>
                <w:bCs/>
                <w:color w:val="1E2845"/>
                <w:sz w:val="16"/>
                <w:szCs w:val="16"/>
              </w:rPr>
              <w:t xml:space="preserve">Name</w:t>
            </w:r>
          </w:p>
        </w:tc>
        <w:tc>
          <w:tcPr>
            <w:tcW w:type="dxa" w:w="1800"/>
            <w:shd w:fill="E4E7EE" w:color="auto" w:val="clear"/>
            <w:tcMar>
              <w:top w:type="dxa" w:w="60"/>
              <w:left w:type="dxa" w:w="120"/>
              <w:bottom w:type="dxa" w:w="60"/>
              <w:right w:type="dxa" w:w="120"/>
            </w:tcMar>
            <w:vAlign w:val="center"/>
          </w:tcPr>
          <w:p>
            <w:pPr>
              <w:keepNext/>
              <w:spacing w:after="0" w:line="276"/>
            </w:pPr>
            <w:r>
              <w:rPr>
                <w:rFonts w:ascii="Arial" w:cs="Arial" w:eastAsia="Arial" w:hAnsi="Arial"/>
                <w:b/>
                <w:bCs/>
                <w:color w:val="1E2845"/>
                <w:sz w:val="16"/>
                <w:szCs w:val="16"/>
              </w:rPr>
              <w:t xml:space="preserve">Date</w:t>
            </w:r>
          </w:p>
        </w:tc>
        <w:tc>
          <w:tcPr>
            <w:tcW w:type="dxa" w:w="3306"/>
            <w:shd w:fill="E4E7EE" w:color="auto" w:val="clear"/>
            <w:tcMar>
              <w:top w:type="dxa" w:w="60"/>
              <w:left w:type="dxa" w:w="120"/>
              <w:bottom w:type="dxa" w:w="60"/>
              <w:right w:type="dxa" w:w="120"/>
            </w:tcMar>
            <w:vAlign w:val="center"/>
          </w:tcPr>
          <w:p>
            <w:pPr>
              <w:keepNext/>
              <w:spacing w:after="0" w:line="276"/>
            </w:pPr>
            <w:r>
              <w:rPr>
                <w:rFonts w:ascii="Arial" w:cs="Arial" w:eastAsia="Arial" w:hAnsi="Arial"/>
                <w:b/>
                <w:bCs/>
                <w:color w:val="1E2845"/>
                <w:sz w:val="16"/>
                <w:szCs w:val="16"/>
              </w:rPr>
              <w:t xml:space="preserve">Signature</w:t>
            </w:r>
          </w:p>
        </w:tc>
      </w:tr>
      <w:tr>
        <w:trPr>
          <w:trHeight w:val="454" w:hRule="exact"/>
        </w:trPr>
        <w:tc>
          <w:tcPr>
            <w:tcW w:type="dxa" w:w="50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18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3306"/>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r>
      <w:tr>
        <w:trPr>
          <w:trHeight w:val="454" w:hRule="exact"/>
        </w:trPr>
        <w:tc>
          <w:tcPr>
            <w:tcW w:type="dxa" w:w="50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18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3306"/>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r>
      <w:tr>
        <w:trPr>
          <w:trHeight w:val="454" w:hRule="exact"/>
        </w:trPr>
        <w:tc>
          <w:tcPr>
            <w:tcW w:type="dxa" w:w="50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18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3306"/>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r>
      <w:tr>
        <w:trPr>
          <w:trHeight w:val="454" w:hRule="exact"/>
        </w:trPr>
        <w:tc>
          <w:tcPr>
            <w:tcW w:type="dxa" w:w="50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1800"/>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c>
          <w:tcPr>
            <w:tcW w:type="dxa" w:w="3306"/>
            <w:tcMar>
              <w:top w:type="dxa" w:w="60"/>
              <w:left w:type="dxa" w:w="120"/>
              <w:bottom w:type="dxa" w:w="60"/>
              <w:right w:type="dxa" w:w="120"/>
            </w:tcMar>
            <w:vAlign w:val="center"/>
          </w:tcPr>
          <w:p>
            <w:pPr>
              <w:keepNext/>
              <w:spacing w:after="0" w:line="276"/>
            </w:pPr>
            <w:r>
              <w:rPr>
                <w:rFonts w:ascii="Arial" w:cs="Arial" w:eastAsia="Arial" w:hAnsi="Arial"/>
                <w:color w:val="333333"/>
                <w:sz w:val="19"/>
                <w:szCs w:val="19"/>
              </w:rPr>
              <w:t xml:space="preserve"> </w:t>
            </w:r>
          </w:p>
        </w:tc>
      </w:tr>
    </w:tbl>
    <w:p>
      <w:pPr>
        <w:keepNext/>
        <w:spacing w:after="0" w:before="80" w:line="252"/>
      </w:pPr>
      <w:r>
        <w:rPr>
          <w:rFonts w:ascii="Arial" w:cs="Arial" w:eastAsia="Arial" w:hAnsi="Arial"/>
          <w:i/>
          <w:iCs/>
          <w:color w:val="5D6680"/>
          <w:sz w:val="15"/>
          <w:szCs w:val="15"/>
        </w:rPr>
        <w:t xml:space="preserve">I have read, understood and been assessed as competent to carry out this task. If Company Name uses a central training register instead, remove this table and record acknowledgement there.</w:t>
      </w:r>
    </w:p>
    <w:p>
      <w:pPr>
        <w:keepLines/>
        <w:spacing w:before="160" w:line="252"/>
      </w:pPr>
      <w:r>
        <w:rPr>
          <w:rFonts w:ascii="Arial" w:cs="Arial" w:eastAsia="Arial" w:hAnsi="Arial"/>
          <w:i/>
          <w:iCs/>
          <w:color w:val="5D6680"/>
          <w:sz w:val="15"/>
          <w:szCs w:val="15"/>
        </w:rPr>
        <w:t xml:space="preserve">This SOP is a general template, not a site-specific risk assessment. Review and amend it to suit your business, equipment and work environment before use.</w:t>
      </w:r>
    </w:p>
    <w:sectPr>
      <w:headerReference w:type="default" r:id="rId7"/>
      <w:footerReference w:type="default" r:id="rId8"/>
      <w:pgSz w:w="11906" w:h="16838" w:orient="portrait"/>
      <w:pgMar w:top="1500" w:right="900" w:bottom="800" w:left="900" w:header="42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ED9" w:sz="4" w:space="4"/>
      </w:pBdr>
      <w:tabs>
        <w:tab w:val="center" w:pos="5053"/>
        <w:tab w:val="right" w:pos="10106"/>
      </w:tabs>
    </w:pPr>
    <w:r>
      <w:rPr>
        <w:rFonts w:ascii="Arial" w:cs="Arial" w:eastAsia="Arial" w:hAnsi="Arial"/>
        <w:color w:val="5D6680"/>
        <w:sz w:val="14"/>
        <w:szCs w:val="14"/>
      </w:rPr>
      <w:t xml:space="preserve">Sewer Work &amp; Contamination Control</w:t>
    </w:r>
    <w:r>
      <w:rPr>
        <w:rFonts w:ascii="Arial" w:cs="Arial" w:eastAsia="Arial" w:hAnsi="Arial"/>
        <w:color w:val="5D6680"/>
        <w:sz w:val="14"/>
        <w:szCs w:val="14"/>
      </w:rPr>
      <w:t xml:space="preserve">	Uncontrolled when printed</w:t>
    </w:r>
    <w:r>
      <w:rPr>
        <w:rFonts w:ascii="Arial" w:cs="Arial" w:eastAsia="Arial" w:hAnsi="Arial"/>
        <w:color w:val="5D6680"/>
        <w:sz w:val="14"/>
        <w:szCs w:val="14"/>
      </w:rPr>
      <w:t xml:space="preserve">	Page </w:t>
    </w:r>
    <w:r>
      <w:rPr>
        <w:rFonts w:ascii="Arial" w:cs="Arial" w:eastAsia="Arial" w:hAnsi="Arial"/>
        <w:color w:val="5D6680"/>
        <w:sz w:val="14"/>
        <w:szCs w:val="14"/>
      </w:rPr>
      <w:fldChar w:fldCharType="begin"/>
      <w:instrText xml:space="preserve">PAGE</w:instrText>
      <w:fldChar w:fldCharType="separate"/>
      <w:fldChar w:fldCharType="end"/>
    </w:r>
    <w:r>
      <w:rPr>
        <w:rFonts w:ascii="Arial" w:cs="Arial" w:eastAsia="Arial" w:hAnsi="Arial"/>
        <w:color w:val="5D6680"/>
        <w:sz w:val="14"/>
        <w:szCs w:val="14"/>
      </w:rPr>
      <w:t xml:space="preserve"> of </w:t>
    </w:r>
    <w:r>
      <w:rPr>
        <w:rFonts w:ascii="Arial" w:cs="Arial" w:eastAsia="Arial" w:hAnsi="Arial"/>
        <w:color w:val="5D66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06"/>
      <w:gridCol w:w="2400"/>
    </w:tblGrid>
    <w:tr>
      <w:trPr>
        <w:cantSplit/>
      </w:trPr>
      <w:tc>
        <w:tcPr>
          <w:tcW w:type="dxa" w:w="7706"/>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spacing w:after="20"/>
          </w:pPr>
          <w:r>
            <w:rPr>
              <w:rFonts w:ascii="Arial" w:cs="Arial" w:eastAsia="Arial" w:hAnsi="Arial"/>
              <w:b/>
              <w:bCs/>
              <w:color w:val="E8552B"/>
              <w:spacing w:val="40"/>
              <w:sz w:val="15"/>
              <w:szCs w:val="15"/>
            </w:rPr>
            <w:t xml:space="preserve">COMPANY NAME  |  SAFE OPERATING PROCEDURE</w:t>
          </w:r>
        </w:p>
        <w:p>
          <w:pPr>
            <w:spacing w:after="0" w:line="276"/>
          </w:pPr>
          <w:r>
            <w:rPr>
              <w:rFonts w:ascii="Arial" w:cs="Arial" w:eastAsia="Arial" w:hAnsi="Arial"/>
              <w:b/>
              <w:bCs/>
              <w:color w:val="1E2845"/>
              <w:sz w:val="32"/>
              <w:szCs w:val="32"/>
            </w:rPr>
            <w:t xml:space="preserve">Sewer Work &amp; Contamination Control</w:t>
          </w:r>
        </w:p>
      </w:tc>
      <w:tc>
        <w:tcPr>
          <w:tcW w:type="dxa" w:w="240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jc w:val="right"/>
          </w:pPr>
          <w:r>
            <w:drawing>
              <wp:inline distT="0" distB="0" distL="0" distR="0">
                <wp:extent cx="123825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33400"/>
                        </a:xfrm>
                        <a:prstGeom prst="rect">
                          <a:avLst/>
                        </a:prstGeom>
                      </pic:spPr>
                    </pic:pic>
                  </a:graphicData>
                </a:graphic>
              </wp:inline>
            </w:drawing>
          </w:r>
        </w:p>
      </w:tc>
    </w:tr>
  </w:tbl>
  <w:p>
    <w:pPr>
      <w:pBdr>
        <w:bottom w:val="single" w:color="E8552B" w:sz="12" w:space="1"/>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rFonts w:ascii="Arial" w:cs="Arial" w:eastAsia="Arial" w:hAnsi="Arial"/>
        <w:color w:val="E8552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6e14913bfae1077952ee90b61687bae15e9f481.jpg"/><Relationship Id="rId10" Type="http://schemas.openxmlformats.org/officeDocument/2006/relationships/image" Target="media/eb063adae77e1fd6c5b7bbce57d350a3935c4a9d.jpg"/><Relationship Id="rId11" Type="http://schemas.openxmlformats.org/officeDocument/2006/relationships/image" Target="media/2e76996716453065ced0cb312b93b2c97851e0c1.jpg"/><Relationship Id="rId12" Type="http://schemas.openxmlformats.org/officeDocument/2006/relationships/image" Target="media/cc31dedbdd9b01a3a6717be4db2d86ae6c0693db.jpg"/><Relationship Id="rId13" Type="http://schemas.openxmlformats.org/officeDocument/2006/relationships/image" Target="media/d792ff7a3b4e5ba7d820794bb64bb4e714eef44f.jpg"/><Relationship Id="rId14" Type="http://schemas.openxmlformats.org/officeDocument/2006/relationships/image" Target="media/9433c4ca9c35e55bba37fadd7f7fdc86a93d0f09.jpg"/><Relationship Id="rId15" Type="http://schemas.openxmlformats.org/officeDocument/2006/relationships/image" Target="media/c8319dc0a3913661d4ac700318ab13afbf4a7180.jpg"/><Relationship Id="rId16" Type="http://schemas.openxmlformats.org/officeDocument/2006/relationships/image" Target="media/e62ccb8f5ad65b5d4bad3dee38c458b93faca84c.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df246d38e192f27304b58c5992dde9dc65fd7d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2026-10-08T01:23:56.678Z</dcterms:created>
  <dcterms:modified xsi:type="dcterms:W3CDTF">2026-10-08T01:23:56.678Z</dcterms:modified>
</cp:coreProperties>
</file>

<file path=docProps/custom.xml><?xml version="1.0" encoding="utf-8"?>
<Properties xmlns="http://schemas.openxmlformats.org/officeDocument/2006/custom-properties" xmlns:vt="http://schemas.openxmlformats.org/officeDocument/2006/docPropsVTypes"/>
</file>